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a="http://schemas.openxmlformats.org/draw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left"/>
      </w:pPr>
    </w:p>
    <w:p>
      <w:pPr>
        <w:jc w:val="left"/>
      </w:pPr>
      <w:r>
        <w:rPr/>
        <w:t>我仔细对比了2026年和2025年的实施办法，整体框架保持稳定，没有大改，但在录取批次、志愿数量、兼报规则和加分政策等核心环节上有几处值得关注的调整。以下是具体的对比分析和变化说明。</w:t>
      </w:r>
    </w:p>
    <w:p>
      <w:pPr>
        <w:pStyle w:val="17"/>
        <w:pBdr>
          <w:bottom w:val="single" w:color="080F17" w:sz="6"/>
        </w:pBdr>
        <w:jc w:val="left"/>
      </w:pPr>
    </w:p>
    <w:p>
      <w:pPr>
        <w:pStyle w:val="17"/>
      </w:pPr>
    </w:p>
    <w:p>
      <w:pPr>
        <w:pStyle w:val="4"/>
        <w:jc w:val="left"/>
      </w:pPr>
      <w:r>
        <w:rPr/>
        <w:t>一、主要变化对比分析</w:t>
      </w:r>
    </w:p>
    <w:p>
      <w:pPr>
        <w:pStyle w:val="5"/>
        <w:jc w:val="left"/>
      </w:pPr>
      <w:r>
        <w:rPr/>
        <w:t>总体判断</w:t>
      </w:r>
    </w:p>
    <w:p>
      <w:pPr>
        <w:jc w:val="left"/>
      </w:pPr>
      <w:r>
        <w:rPr/>
        <w:t>2026年山东省夏季高考实施办法保持“3+3”考试模式、总分750分、考试时间安排等主体框架不变，但在录取批次结构、志愿填报数量、兼报录取规则、加分政策收紧及专项计划机制等方面进行了优化调整。</w:t>
      </w:r>
      <w:r>
        <w:rPr>
          <w:b/>
          <w:bCs/>
        </w:rPr>
        <w:t>总体上属于稳中有进、优化调控的局部调整</w:t>
      </w:r>
      <w:r>
        <w:rPr/>
        <w:t>，不涉及颠覆性变化。</w:t>
      </w:r>
    </w:p>
    <w:p>
      <w:pPr>
        <w:pStyle w:val="5"/>
        <w:jc w:val="left"/>
      </w:pPr>
      <w:r>
        <w:rPr/>
        <w:t>2025年与2026年山东省夏季高考政策主要变化对比表</w:t>
      </w:r>
    </w:p>
    <w:tbl>
      <w:tblPr>
        <w:tblStyle w:val="9"/>
        <w:tblW w:w="10380" w:type="dxa"/>
        <w:tblLayout w:type="fixed"/>
        <w:tblCellMar>
          <w:top w:w="30" w:type="dxa"/>
          <w:left w:w="180" w:type="dxa"/>
          <w:bottom w:w="30" w:type="dxa"/>
          <w:right w:w="180" w:type="dxa"/>
        </w:tblCellMar>
      </w:tblPr>
      <w:tblGrid>
        <w:gridCol w:w="1883"/>
        <w:gridCol w:w="3307"/>
        <w:gridCol w:w="3307"/>
        <w:gridCol w:w="1883"/>
      </w:tblGrid>
      <w:tr>
        <w:tblPrEx/>
        <w:trPr>
          <w:trHeight w:val="396"/>
        </w:trPr>
        <w:tc>
          <w:tcPr>
            <w:tcW w:w="1883" w:type="dxa"/>
            <w:vAlign w:val="top"/>
          </w:tcPr>
          <w:p>
            <w:pPr>
              <w:jc w:val="left"/>
            </w:pPr>
            <w:r>
              <w:rPr>
                <w:b/>
                <w:bCs/>
              </w:rPr>
              <w:t>对比维度</w:t>
            </w:r>
          </w:p>
        </w:tc>
        <w:tc>
          <w:tcPr>
            <w:tcW w:w="3307" w:type="dxa"/>
            <w:vAlign w:val="top"/>
          </w:tcPr>
          <w:p>
            <w:pPr>
              <w:jc w:val="left"/>
            </w:pPr>
            <w:r>
              <w:rPr>
                <w:b/>
                <w:bCs/>
              </w:rPr>
              <w:t>2025年政策</w:t>
            </w:r>
          </w:p>
        </w:tc>
        <w:tc>
          <w:tcPr>
            <w:tcW w:w="3307" w:type="dxa"/>
            <w:vAlign w:val="top"/>
          </w:tcPr>
          <w:p>
            <w:pPr>
              <w:jc w:val="left"/>
            </w:pPr>
            <w:r>
              <w:rPr>
                <w:b/>
                <w:bCs/>
              </w:rPr>
              <w:t>2026年政策</w:t>
            </w:r>
          </w:p>
        </w:tc>
        <w:tc>
          <w:tcPr>
            <w:tcW w:w="1883" w:type="dxa"/>
            <w:vAlign w:val="top"/>
          </w:tcPr>
          <w:p>
            <w:pPr>
              <w:jc w:val="left"/>
            </w:pPr>
            <w:r>
              <w:rPr>
                <w:b/>
                <w:bCs/>
              </w:rPr>
              <w:t>变化说明</w:t>
            </w:r>
          </w:p>
        </w:tc>
      </w:tr>
      <w:tr>
        <w:tblPrEx/>
        <w:trPr>
          <w:trHeight w:val="396"/>
        </w:trPr>
        <w:tc>
          <w:tcPr>
            <w:tcW w:w="1883" w:type="dxa"/>
            <w:vAlign w:val="top"/>
          </w:tcPr>
          <w:p>
            <w:pPr>
              <w:jc w:val="left"/>
            </w:pPr>
            <w:r>
              <w:rPr>
                <w:b/>
                <w:bCs/>
              </w:rPr>
              <w:t>普通类录取批次</w:t>
            </w:r>
          </w:p>
        </w:tc>
        <w:tc>
          <w:tcPr>
            <w:tcW w:w="3307" w:type="dxa"/>
            <w:vAlign w:val="top"/>
          </w:tcPr>
          <w:p>
            <w:pPr>
              <w:jc w:val="left"/>
            </w:pPr>
            <w:r>
              <w:rPr/>
              <w:t xml:space="preserve">提前批 → </w:t>
            </w:r>
            <w:r>
              <w:rPr>
                <w:b/>
                <w:bCs/>
              </w:rPr>
              <w:t>特殊类型批</w:t>
            </w:r>
            <w:r>
              <w:rPr/>
              <w:t xml:space="preserve"> → 常规批（三个批次）</w:t>
            </w:r>
          </w:p>
        </w:tc>
        <w:tc>
          <w:tcPr>
            <w:tcW w:w="3307" w:type="dxa"/>
            <w:vAlign w:val="top"/>
          </w:tcPr>
          <w:p>
            <w:pPr>
              <w:jc w:val="left"/>
            </w:pPr>
            <w:r>
              <w:rPr/>
              <w:t>提前批 → 常规批（两个批次，特殊类型批并入常规批，高校专项不再单独设批次）</w:t>
            </w:r>
          </w:p>
        </w:tc>
        <w:tc>
          <w:tcPr>
            <w:tcW w:w="1883" w:type="dxa"/>
            <w:vAlign w:val="top"/>
          </w:tcPr>
          <w:p>
            <w:pPr>
              <w:jc w:val="left"/>
            </w:pPr>
            <w:r>
              <w:rPr>
                <w:rStyle w:val="13"/>
              </w:rPr>
              <w:t>⚠️</w:t>
            </w:r>
            <w:r>
              <w:rPr/>
              <w:t xml:space="preserve"> </w:t>
            </w:r>
            <w:r>
              <w:rPr>
                <w:b/>
                <w:bCs/>
              </w:rPr>
              <w:t>批次精简合并</w:t>
            </w:r>
            <w:r>
              <w:rPr/>
              <w:t>：2025年的“特殊类型批”被取消，相关招生类型并入常规批统一管理；高校专项计划从单独批次融入常规批96个平行志愿体系</w:t>
            </w:r>
          </w:p>
        </w:tc>
      </w:tr>
      <w:tr>
        <w:tblPrEx/>
        <w:trPr>
          <w:trHeight w:val="396"/>
        </w:trPr>
        <w:tc>
          <w:tcPr>
            <w:tcW w:w="1883" w:type="dxa"/>
            <w:vAlign w:val="top"/>
          </w:tcPr>
          <w:p>
            <w:pPr>
              <w:jc w:val="left"/>
            </w:pPr>
            <w:r>
              <w:rPr>
                <w:b/>
                <w:bCs/>
              </w:rPr>
              <w:t>普通类提前批B类专科计划</w:t>
            </w:r>
          </w:p>
        </w:tc>
        <w:tc>
          <w:tcPr>
            <w:tcW w:w="3307" w:type="dxa"/>
            <w:vAlign w:val="top"/>
          </w:tcPr>
          <w:p>
            <w:pPr>
              <w:jc w:val="left"/>
            </w:pPr>
            <w:r>
              <w:rPr/>
              <w:t>提前批B类均为</w:t>
            </w:r>
            <w:r>
              <w:rPr>
                <w:b/>
                <w:bCs/>
              </w:rPr>
              <w:t>本科计划</w:t>
            </w:r>
          </w:p>
        </w:tc>
        <w:tc>
          <w:tcPr>
            <w:tcW w:w="3307" w:type="dxa"/>
            <w:vAlign w:val="top"/>
          </w:tcPr>
          <w:p>
            <w:pPr>
              <w:jc w:val="left"/>
            </w:pPr>
            <w:r>
              <w:rPr/>
              <w:t>提前批B类包括</w:t>
            </w:r>
            <w:r>
              <w:rPr>
                <w:b/>
                <w:bCs/>
              </w:rPr>
              <w:t>本科计划和专科计划</w:t>
            </w:r>
            <w:r>
              <w:rPr/>
              <w:t>（含定向培养军士生等专科招生）</w:t>
            </w:r>
          </w:p>
        </w:tc>
        <w:tc>
          <w:tcPr>
            <w:tcW w:w="1883" w:type="dxa"/>
            <w:vAlign w:val="top"/>
          </w:tcPr>
          <w:p>
            <w:pPr>
              <w:jc w:val="left"/>
            </w:pPr>
            <w:r>
              <w:rPr>
                <w:rStyle w:val="13"/>
              </w:rPr>
              <w:t>✅</w:t>
            </w:r>
            <w:r>
              <w:rPr/>
              <w:t xml:space="preserve"> </w:t>
            </w:r>
            <w:r>
              <w:rPr>
                <w:b/>
                <w:bCs/>
              </w:rPr>
              <w:t>专科加入提前批B类</w:t>
            </w:r>
            <w:r>
              <w:rPr/>
              <w:t>：专科层次的部分特殊类型（定向培养军士生等）纳入提前批B类平行志愿体系</w:t>
            </w:r>
          </w:p>
        </w:tc>
      </w:tr>
      <w:tr>
        <w:tblPrEx/>
        <w:trPr>
          <w:trHeight w:val="396"/>
        </w:trPr>
        <w:tc>
          <w:tcPr>
            <w:tcW w:w="1883" w:type="dxa"/>
            <w:vAlign w:val="top"/>
          </w:tcPr>
          <w:p>
            <w:pPr>
              <w:jc w:val="left"/>
            </w:pPr>
            <w:r>
              <w:rPr>
                <w:b/>
                <w:bCs/>
              </w:rPr>
              <w:t>艺术类志愿数量</w:t>
            </w:r>
          </w:p>
        </w:tc>
        <w:tc>
          <w:tcPr>
            <w:tcW w:w="3307" w:type="dxa"/>
            <w:vAlign w:val="top"/>
          </w:tcPr>
          <w:p>
            <w:pPr>
              <w:jc w:val="left"/>
            </w:pPr>
            <w:r>
              <w:rPr/>
              <w:t xml:space="preserve">本科批平行志愿上限 </w:t>
            </w:r>
            <w:r>
              <w:rPr>
                <w:b/>
                <w:bCs/>
              </w:rPr>
              <w:t>60个</w:t>
            </w:r>
          </w:p>
        </w:tc>
        <w:tc>
          <w:tcPr>
            <w:tcW w:w="3307" w:type="dxa"/>
            <w:vAlign w:val="top"/>
          </w:tcPr>
          <w:p>
            <w:pPr>
              <w:jc w:val="left"/>
            </w:pPr>
            <w:r>
              <w:rPr/>
              <w:t xml:space="preserve">本科批平行志愿上限 </w:t>
            </w:r>
            <w:r>
              <w:rPr>
                <w:b/>
                <w:bCs/>
              </w:rPr>
              <w:t>96个</w:t>
            </w:r>
            <w:r>
              <w:rPr/>
              <w:t>，增幅达60%</w:t>
            </w:r>
          </w:p>
        </w:tc>
        <w:tc>
          <w:tcPr>
            <w:tcW w:w="1883" w:type="dxa"/>
            <w:vAlign w:val="top"/>
          </w:tcPr>
          <w:p>
            <w:pPr>
              <w:jc w:val="left"/>
            </w:pPr>
            <w:r>
              <w:rPr>
                <w:rStyle w:val="13"/>
              </w:rPr>
              <w:t>✅</w:t>
            </w:r>
            <w:r>
              <w:rPr/>
              <w:t xml:space="preserve"> </w:t>
            </w:r>
            <w:r>
              <w:rPr>
                <w:b/>
                <w:bCs/>
              </w:rPr>
              <w:t>志愿大幅扩容</w:t>
            </w:r>
            <w:r>
              <w:rPr/>
              <w:t>：艺考生选择空间明显扩大，有利于降低高分滑档风险</w:t>
            </w:r>
          </w:p>
        </w:tc>
      </w:tr>
      <w:tr>
        <w:tblPrEx/>
        <w:trPr>
          <w:trHeight w:val="396"/>
        </w:trPr>
        <w:tc>
          <w:tcPr>
            <w:tcW w:w="1883" w:type="dxa"/>
            <w:vAlign w:val="top"/>
          </w:tcPr>
          <w:p>
            <w:pPr>
              <w:jc w:val="left"/>
            </w:pPr>
            <w:r>
              <w:rPr>
                <w:b/>
                <w:bCs/>
              </w:rPr>
              <w:t>艺术类提前批结构</w:t>
            </w:r>
          </w:p>
        </w:tc>
        <w:tc>
          <w:tcPr>
            <w:tcW w:w="3307" w:type="dxa"/>
            <w:vAlign w:val="top"/>
          </w:tcPr>
          <w:p>
            <w:pPr>
              <w:jc w:val="left"/>
            </w:pPr>
            <w:r>
              <w:rPr/>
              <w:t>提前批为统一整体，含校考专业、省际联考戏曲类、省属公费师范生艺术类</w:t>
            </w:r>
          </w:p>
        </w:tc>
        <w:tc>
          <w:tcPr>
            <w:tcW w:w="3307" w:type="dxa"/>
            <w:vAlign w:val="top"/>
          </w:tcPr>
          <w:p>
            <w:pPr>
              <w:jc w:val="left"/>
            </w:pPr>
            <w:r>
              <w:rPr/>
              <w:t xml:space="preserve">细分为 </w:t>
            </w:r>
            <w:r>
              <w:rPr>
                <w:b/>
                <w:bCs/>
              </w:rPr>
              <w:t>A类（非平行志愿）</w:t>
            </w:r>
            <w:r>
              <w:rPr/>
              <w:t xml:space="preserve"> 和 </w:t>
            </w:r>
            <w:r>
              <w:rPr>
                <w:b/>
                <w:bCs/>
              </w:rPr>
              <w:t>B类（平行志愿）</w:t>
            </w:r>
            <w:r>
              <w:rPr/>
              <w:t xml:space="preserve"> ，且两类不得兼报</w:t>
            </w:r>
          </w:p>
        </w:tc>
        <w:tc>
          <w:tcPr>
            <w:tcW w:w="1883" w:type="dxa"/>
            <w:vAlign w:val="top"/>
          </w:tcPr>
          <w:p>
            <w:pPr>
              <w:jc w:val="left"/>
            </w:pPr>
            <w:r>
              <w:rPr>
                <w:rStyle w:val="13"/>
              </w:rPr>
              <w:t>✅</w:t>
            </w:r>
            <w:r>
              <w:rPr/>
              <w:t xml:space="preserve"> </w:t>
            </w:r>
            <w:r>
              <w:rPr>
                <w:b/>
                <w:bCs/>
              </w:rPr>
              <w:t>结构细分优化</w:t>
            </w:r>
            <w:r>
              <w:rPr/>
              <w:t>：省属公费师范生艺术类单独划入B类实行平行志愿，录取规则更加明确</w:t>
            </w:r>
          </w:p>
        </w:tc>
      </w:tr>
      <w:tr>
        <w:tblPrEx/>
        <w:trPr>
          <w:trHeight w:val="396"/>
        </w:trPr>
        <w:tc>
          <w:tcPr>
            <w:tcW w:w="1883" w:type="dxa"/>
            <w:vAlign w:val="top"/>
          </w:tcPr>
          <w:p>
            <w:pPr>
              <w:jc w:val="left"/>
            </w:pPr>
            <w:r>
              <w:rPr>
                <w:b/>
                <w:bCs/>
              </w:rPr>
              <w:t>艺术类公费师范生录取方式</w:t>
            </w:r>
          </w:p>
        </w:tc>
        <w:tc>
          <w:tcPr>
            <w:tcW w:w="3307" w:type="dxa"/>
            <w:vAlign w:val="top"/>
          </w:tcPr>
          <w:p>
            <w:pPr>
              <w:jc w:val="left"/>
            </w:pPr>
            <w:r>
              <w:rPr/>
              <w:t>按文化成绩投档 → 高校按专业成绩择优录取</w:t>
            </w:r>
          </w:p>
        </w:tc>
        <w:tc>
          <w:tcPr>
            <w:tcW w:w="3307" w:type="dxa"/>
            <w:vAlign w:val="top"/>
          </w:tcPr>
          <w:p>
            <w:pPr>
              <w:jc w:val="left"/>
            </w:pPr>
            <w:r>
              <w:rPr/>
              <w:t>按</w:t>
            </w:r>
            <w:r>
              <w:rPr>
                <w:b/>
                <w:bCs/>
              </w:rPr>
              <w:t>综合成绩平行投档</w:t>
            </w:r>
            <w:r>
              <w:rPr/>
              <w:t>（与本科批一致，例：美术类文化50%+专业50%）</w:t>
            </w:r>
          </w:p>
        </w:tc>
        <w:tc>
          <w:tcPr>
            <w:tcW w:w="1883" w:type="dxa"/>
            <w:vAlign w:val="top"/>
          </w:tcPr>
          <w:p>
            <w:pPr>
              <w:jc w:val="left"/>
            </w:pPr>
            <w:r>
              <w:rPr>
                <w:rStyle w:val="13"/>
              </w:rPr>
              <w:t>✅</w:t>
            </w:r>
            <w:r>
              <w:rPr/>
              <w:t xml:space="preserve"> </w:t>
            </w:r>
            <w:r>
              <w:rPr>
                <w:b/>
                <w:bCs/>
              </w:rPr>
              <w:t>投档规则科学化</w:t>
            </w:r>
            <w:r>
              <w:rPr/>
              <w:t>：从文化入围后高校自主排序改为综合成绩平行投档，减少信息不对称风险</w:t>
            </w:r>
          </w:p>
        </w:tc>
      </w:tr>
      <w:tr>
        <w:tblPrEx/>
        <w:trPr>
          <w:trHeight w:val="396"/>
        </w:trPr>
        <w:tc>
          <w:tcPr>
            <w:tcW w:w="1883" w:type="dxa"/>
            <w:vAlign w:val="top"/>
          </w:tcPr>
          <w:p>
            <w:pPr>
              <w:jc w:val="left"/>
            </w:pPr>
            <w:r>
              <w:rPr>
                <w:b/>
                <w:bCs/>
              </w:rPr>
              <w:t>兼报录取规则</w:t>
            </w:r>
          </w:p>
        </w:tc>
        <w:tc>
          <w:tcPr>
            <w:tcW w:w="3307" w:type="dxa"/>
            <w:vAlign w:val="top"/>
          </w:tcPr>
          <w:p>
            <w:pPr>
              <w:jc w:val="left"/>
            </w:pPr>
            <w:r>
              <w:rPr/>
              <w:t>春夏考兼报的考生</w:t>
            </w:r>
            <w:r>
              <w:rPr>
                <w:b/>
                <w:bCs/>
              </w:rPr>
              <w:t>可以被同时录取</w:t>
            </w:r>
          </w:p>
        </w:tc>
        <w:tc>
          <w:tcPr>
            <w:tcW w:w="3307" w:type="dxa"/>
            <w:vAlign w:val="top"/>
          </w:tcPr>
          <w:p>
            <w:pPr>
              <w:jc w:val="left"/>
            </w:pPr>
            <w:r>
              <w:rPr/>
              <w:t xml:space="preserve">春夏考兼报的考生 </w:t>
            </w:r>
            <w:r>
              <w:rPr>
                <w:b/>
                <w:bCs/>
              </w:rPr>
              <w:t>不得被两类考试同时录取</w:t>
            </w:r>
          </w:p>
        </w:tc>
        <w:tc>
          <w:tcPr>
            <w:tcW w:w="1883" w:type="dxa"/>
            <w:vAlign w:val="top"/>
          </w:tcPr>
          <w:p>
            <w:pPr>
              <w:jc w:val="left"/>
            </w:pPr>
            <w:r>
              <w:rPr>
                <w:rStyle w:val="13"/>
              </w:rPr>
              <w:t>⚠️</w:t>
            </w:r>
            <w:r>
              <w:rPr/>
              <w:t xml:space="preserve"> </w:t>
            </w:r>
            <w:r>
              <w:rPr>
                <w:b/>
                <w:bCs/>
              </w:rPr>
              <w:t>规则收紧</w:t>
            </w:r>
            <w:r>
              <w:rPr/>
              <w:t>：考生须在春夏考中选择一类作为最终录取结果，避免双重占坑</w:t>
            </w:r>
          </w:p>
        </w:tc>
      </w:tr>
      <w:tr>
        <w:tblPrEx/>
        <w:trPr>
          <w:trHeight w:val="396"/>
        </w:trPr>
        <w:tc>
          <w:tcPr>
            <w:tcW w:w="1883" w:type="dxa"/>
            <w:vAlign w:val="top"/>
          </w:tcPr>
          <w:p>
            <w:pPr>
              <w:jc w:val="left"/>
            </w:pPr>
            <w:r>
              <w:rPr>
                <w:b/>
                <w:bCs/>
              </w:rPr>
              <w:t>加分照顾政策</w:t>
            </w:r>
          </w:p>
        </w:tc>
        <w:tc>
          <w:tcPr>
            <w:tcW w:w="3307" w:type="dxa"/>
            <w:vAlign w:val="top"/>
          </w:tcPr>
          <w:p>
            <w:pPr>
              <w:jc w:val="left"/>
            </w:pPr>
            <w:r>
              <w:rPr/>
              <w:t>保留少数民族聚居区考生加分（已逐步取消至最低5分）</w:t>
            </w:r>
          </w:p>
        </w:tc>
        <w:tc>
          <w:tcPr>
            <w:tcW w:w="3307" w:type="dxa"/>
            <w:vAlign w:val="top"/>
          </w:tcPr>
          <w:p>
            <w:pPr>
              <w:jc w:val="left"/>
            </w:pPr>
            <w:r>
              <w:rPr/>
              <w:t>彻底取消少数民族加分项目，仅保留烈士子女（+20分）、立功退役军人（+20分）、归侨/台湾省籍（+10分）、自主就业退役士兵（+10分）四项</w:t>
            </w:r>
          </w:p>
        </w:tc>
        <w:tc>
          <w:tcPr>
            <w:tcW w:w="1883" w:type="dxa"/>
            <w:vAlign w:val="top"/>
          </w:tcPr>
          <w:p>
            <w:pPr>
              <w:jc w:val="left"/>
            </w:pPr>
            <w:r>
              <w:rPr>
                <w:rStyle w:val="13"/>
              </w:rPr>
              <w:t>⚠️</w:t>
            </w:r>
            <w:r>
              <w:rPr/>
              <w:t xml:space="preserve"> </w:t>
            </w:r>
            <w:r>
              <w:rPr>
                <w:b/>
                <w:bCs/>
              </w:rPr>
              <w:t>政策进一步收紧</w:t>
            </w:r>
            <w:r>
              <w:rPr/>
              <w:t>：少数民族加分彻底退出山东高考舞台，加分项目进一步精简瘦身</w:t>
            </w:r>
          </w:p>
        </w:tc>
      </w:tr>
      <w:tr>
        <w:tblPrEx/>
        <w:trPr>
          <w:trHeight w:val="396"/>
        </w:trPr>
        <w:tc>
          <w:tcPr>
            <w:tcW w:w="1883" w:type="dxa"/>
            <w:vAlign w:val="top"/>
          </w:tcPr>
          <w:p>
            <w:pPr>
              <w:jc w:val="left"/>
            </w:pPr>
            <w:r>
              <w:rPr>
                <w:b/>
                <w:bCs/>
              </w:rPr>
              <w:t>高校专项计划</w:t>
            </w:r>
          </w:p>
        </w:tc>
        <w:tc>
          <w:tcPr>
            <w:tcW w:w="3307" w:type="dxa"/>
            <w:vAlign w:val="top"/>
          </w:tcPr>
          <w:p>
            <w:pPr>
              <w:jc w:val="left"/>
            </w:pPr>
            <w:r>
              <w:rPr/>
              <w:t>单独设特殊类型批录取</w:t>
            </w:r>
          </w:p>
        </w:tc>
        <w:tc>
          <w:tcPr>
            <w:tcW w:w="3307" w:type="dxa"/>
            <w:vAlign w:val="top"/>
          </w:tcPr>
          <w:p>
            <w:pPr>
              <w:jc w:val="left"/>
            </w:pPr>
            <w:r>
              <w:rPr/>
              <w:t>不再单独设批次，融入普通类常规批96个平行志愿体系，单设专项志愿代码；申请时间调整为成绩公布后统一申报</w:t>
            </w:r>
          </w:p>
        </w:tc>
        <w:tc>
          <w:tcPr>
            <w:tcW w:w="1883" w:type="dxa"/>
            <w:vAlign w:val="top"/>
          </w:tcPr>
          <w:p>
            <w:pPr>
              <w:jc w:val="left"/>
            </w:pPr>
            <w:r>
              <w:rPr>
                <w:rStyle w:val="13"/>
              </w:rPr>
              <w:t>⚠️</w:t>
            </w:r>
            <w:r>
              <w:rPr/>
              <w:t xml:space="preserve"> </w:t>
            </w:r>
            <w:r>
              <w:rPr>
                <w:b/>
                <w:bCs/>
              </w:rPr>
              <w:t>机制重大调整</w:t>
            </w:r>
            <w:r>
              <w:rPr/>
              <w:t>：高校专项计划从“单独批次+单独申请”调整为“融入常规批+统一申报”，选拔机制更加统一规范</w:t>
            </w:r>
          </w:p>
        </w:tc>
      </w:tr>
      <w:tr>
        <w:tblPrEx/>
        <w:trPr>
          <w:trHeight w:val="396"/>
        </w:trPr>
        <w:tc>
          <w:tcPr>
            <w:tcW w:w="1883" w:type="dxa"/>
            <w:vAlign w:val="top"/>
          </w:tcPr>
          <w:p>
            <w:pPr>
              <w:jc w:val="left"/>
            </w:pPr>
            <w:r>
              <w:rPr>
                <w:b/>
                <w:bCs/>
              </w:rPr>
              <w:t>地方专项计划</w:t>
            </w:r>
          </w:p>
        </w:tc>
        <w:tc>
          <w:tcPr>
            <w:tcW w:w="3307" w:type="dxa"/>
            <w:vAlign w:val="top"/>
          </w:tcPr>
          <w:p>
            <w:pPr>
              <w:jc w:val="left"/>
            </w:pPr>
            <w:r>
              <w:rPr/>
              <w:t>招生规模相对稳定</w:t>
            </w:r>
          </w:p>
        </w:tc>
        <w:tc>
          <w:tcPr>
            <w:tcW w:w="3307" w:type="dxa"/>
            <w:vAlign w:val="top"/>
          </w:tcPr>
          <w:p>
            <w:pPr>
              <w:jc w:val="left"/>
            </w:pPr>
            <w:r>
              <w:rPr/>
              <w:t>多所高校专项招生规模扩大（如济南大学同比增长16.7%）</w:t>
            </w:r>
          </w:p>
        </w:tc>
        <w:tc>
          <w:tcPr>
            <w:tcW w:w="1883" w:type="dxa"/>
            <w:vAlign w:val="top"/>
          </w:tcPr>
          <w:p>
            <w:pPr>
              <w:jc w:val="left"/>
            </w:pPr>
            <w:r>
              <w:rPr>
                <w:rStyle w:val="13"/>
              </w:rPr>
              <w:t>✅</w:t>
            </w:r>
            <w:r>
              <w:rPr/>
              <w:t xml:space="preserve"> </w:t>
            </w:r>
            <w:r>
              <w:rPr>
                <w:b/>
                <w:bCs/>
              </w:rPr>
              <w:t>规模扩大</w:t>
            </w:r>
            <w:r>
              <w:rPr/>
              <w:t>：面向农村和脱贫地区的专项招生力度增强</w:t>
            </w:r>
          </w:p>
        </w:tc>
      </w:tr>
    </w:tbl>
    <w:p>
      <w:pPr>
        <w:jc w:val="left"/>
      </w:pPr>
      <w:r>
        <w:rPr>
          <w:b/>
          <w:bCs/>
        </w:rPr>
        <w:t>图例说明：</w:t>
      </w:r>
    </w:p>
    <w:p>
      <w:pPr>
        <w:numPr>
          <w:ilvl w:val="0"/>
          <w:numId w:val="2"/>
        </w:numPr>
        <w:jc w:val="left"/>
      </w:pPr>
      <w:r>
        <w:rPr>
          <w:rStyle w:val="13"/>
          <w:b/>
          <w:bCs/>
        </w:rPr>
        <w:t>⚠️</w:t>
      </w:r>
      <w:r>
        <w:rPr>
          <w:b/>
          <w:bCs/>
        </w:rPr>
        <w:t xml:space="preserve"> 重点关注的变化</w:t>
      </w:r>
      <w:r>
        <w:rPr/>
        <w:t xml:space="preserve"> —— 涉及批次结构、兼报规则、专项计划机制等，对考生有实质性影响</w:t>
      </w:r>
    </w:p>
    <w:p>
      <w:pPr>
        <w:numPr>
          <w:ilvl w:val="0"/>
          <w:numId w:val="2"/>
        </w:numPr>
        <w:jc w:val="left"/>
      </w:pPr>
      <w:r>
        <w:rPr>
          <w:rStyle w:val="13"/>
          <w:b/>
          <w:bCs/>
        </w:rPr>
        <w:t>✅</w:t>
      </w:r>
      <w:r>
        <w:rPr>
          <w:b/>
          <w:bCs/>
        </w:rPr>
        <w:t xml:space="preserve"> 优化型变化</w:t>
      </w:r>
      <w:r>
        <w:rPr/>
        <w:t xml:space="preserve"> —— 志愿扩容、投档规则完善、招生规模扩大等，对考生有利</w:t>
      </w:r>
    </w:p>
    <w:p>
      <w:pPr>
        <w:numPr>
          <w:ilvl w:val="0"/>
          <w:numId w:val="2"/>
        </w:numPr>
        <w:jc w:val="left"/>
      </w:pPr>
      <w:r>
        <w:rPr>
          <w:b/>
          <w:bCs/>
        </w:rPr>
        <w:t>无标记</w:t>
      </w:r>
      <w:r>
        <w:rPr/>
        <w:t xml:space="preserve"> —— 框架性调整，影响有限</w:t>
      </w:r>
    </w:p>
    <w:p>
      <w:pPr>
        <w:pStyle w:val="4"/>
        <w:jc w:val="left"/>
      </w:pPr>
      <w:r>
        <w:rPr/>
        <w:t>二、重点变化解读</w:t>
      </w:r>
    </w:p>
    <w:p>
      <w:pPr>
        <w:pStyle w:val="5"/>
        <w:jc w:val="left"/>
      </w:pPr>
      <w:r>
        <w:rPr/>
        <w:t>变化一：普通类录取批次精简——“特殊类型批”取消，高校专项融入常规批</w:t>
      </w:r>
    </w:p>
    <w:p>
      <w:pPr>
        <w:jc w:val="left"/>
      </w:pPr>
      <w:r>
        <w:rPr/>
        <w:t>2026年普通类录取批次从三个调整为两个，取消了2025年设置的“特殊类型批”。原特殊类型批中的教育部高校专项计划、地方专项计划等招生类型并入常规批，实行统一的96个“专业（专业类）+学校”平行志愿填报模式，单设专项志愿代码。</w:t>
      </w:r>
    </w:p>
    <w:p>
      <w:pPr>
        <w:jc w:val="left"/>
      </w:pPr>
      <w:r>
        <w:rPr/>
        <w:t>与此同时，高校专项计划的申请流程也作了相应调整：从以往单独申请改为高考成绩公布后统一申报，符合条件的所有考生均可参与。</w:t>
      </w:r>
    </w:p>
    <w:p>
      <w:pPr>
        <w:jc w:val="left"/>
      </w:pPr>
      <w:r>
        <w:rPr>
          <w:b/>
          <w:bCs/>
        </w:rPr>
        <w:t>影响解读</w:t>
      </w:r>
      <w:r>
        <w:rPr/>
        <w:t>：批次精简使录取流程更加简化，同时将专项计划融入平行志愿体系后，符合条件的农村考生可在普通类常规批中与其他考生在同一平台按分数竞争，志愿填报灵活性和机会均等化程度有所提升。</w:t>
      </w:r>
    </w:p>
    <w:p>
      <w:pPr>
        <w:pStyle w:val="5"/>
        <w:jc w:val="left"/>
      </w:pPr>
      <w:r>
        <w:rPr/>
        <w:t>变化二：提前批B类首次纳入专科计划</w:t>
      </w:r>
    </w:p>
    <w:p>
      <w:pPr>
        <w:jc w:val="left"/>
      </w:pPr>
      <w:r>
        <w:rPr/>
        <w:t>2025年普通类提前批B类均为本科计划，包含国家公费师范生、省属公费生、马克思主义理论专业、紧缺涉农试点专业等。2026年提前批B类的招生范围扩展至专科层次，定向培养军士生等专科类型明确纳入提前批B类进行平行志愿投档。</w:t>
      </w:r>
    </w:p>
    <w:p>
      <w:pPr>
        <w:jc w:val="left"/>
      </w:pPr>
      <w:r>
        <w:rPr>
          <w:b/>
          <w:bCs/>
        </w:rPr>
        <w:t>影响解读</w:t>
      </w:r>
      <w:r>
        <w:rPr/>
        <w:t>：专科层次的部分特殊类型招生获得与本科提前批同等的平行志愿待遇，相关考生可填报最多60个“专业+学校”志愿，选择空间明显扩大。</w:t>
      </w:r>
    </w:p>
    <w:p>
      <w:pPr>
        <w:pStyle w:val="5"/>
        <w:jc w:val="left"/>
      </w:pPr>
      <w:r>
        <w:rPr/>
        <w:t>变化三：艺术类志愿数量大幅扩容至96个</w:t>
      </w:r>
    </w:p>
    <w:p>
      <w:pPr>
        <w:jc w:val="left"/>
      </w:pPr>
      <w:r>
        <w:rPr/>
        <w:t>2026年艺术类本科批和专科批省级统考专业实行平行志愿，考生每次填报志愿的数量上限从2025年的60个提升至96个，增幅达60%。艺术类考生最多有6次志愿填报机会：本科提前批A类1次、B类2次、本科批2次、专科批2次。</w:t>
      </w:r>
    </w:p>
    <w:p>
      <w:pPr>
        <w:jc w:val="left"/>
      </w:pPr>
      <w:r>
        <w:rPr>
          <w:b/>
          <w:bCs/>
        </w:rPr>
        <w:t>影响解读</w:t>
      </w:r>
      <w:r>
        <w:rPr/>
        <w:t>：这是2026年对艺考生最直接的利好政策。96个志愿使考生能够更加充分地布局冲刺、稳妥、保底三个梯度，录取容错率显著提高，高分滑档风险进一步降低。</w:t>
      </w:r>
    </w:p>
    <w:p>
      <w:pPr>
        <w:pStyle w:val="5"/>
        <w:jc w:val="left"/>
      </w:pPr>
      <w:r>
        <w:rPr/>
        <w:t>变化四：艺术类提前批结构细分</w:t>
      </w:r>
    </w:p>
    <w:p>
      <w:pPr>
        <w:jc w:val="left"/>
      </w:pPr>
      <w:r>
        <w:rPr/>
        <w:t>2026年艺术类提前批首次明确细分为A类（非平行志愿，含独立设置院校校考专业和省际联考戏曲类本科）和B类（平行志愿，仅限省属公费师范生艺术类专业），且两类不得兼报。同时，省属公费师范生艺术类专业的录取规则从“文化入围后高校按专业成绩排序”调整为按综合成绩平行投档（与本科批保持一致）。</w:t>
      </w:r>
    </w:p>
    <w:p>
      <w:pPr>
        <w:jc w:val="left"/>
      </w:pPr>
      <w:r>
        <w:rPr>
          <w:b/>
          <w:bCs/>
        </w:rPr>
        <w:t>影响解读</w:t>
      </w:r>
      <w:r>
        <w:rPr/>
        <w:t>：提前批结构细分使不同类型的艺术类招生边界更加清晰，考生根据自身条件选择填报路径更具针对性；公费师范生艺术类专业录取规则的统一化，减少了信息不对称带来的录取不确定性。</w:t>
      </w:r>
    </w:p>
    <w:p>
      <w:pPr>
        <w:pStyle w:val="5"/>
        <w:jc w:val="left"/>
      </w:pPr>
      <w:r>
        <w:rPr/>
        <w:t>变化五：春夏考兼报不得同时录取</w:t>
      </w:r>
    </w:p>
    <w:p>
      <w:pPr>
        <w:jc w:val="left"/>
      </w:pPr>
      <w:r>
        <w:rPr/>
        <w:t>自2026年起，春季高考和夏季高考兼报的考生虽然可以分别参加两类考试，但不得被两类考试同时录取。考生须在录取阶段选择其中一类作为最终录取结果，另一类将自动失效。同一阶段，考生只能选择春季高考或夏季高考中的一类志愿填报。</w:t>
      </w:r>
    </w:p>
    <w:p>
      <w:pPr>
        <w:jc w:val="left"/>
      </w:pPr>
      <w:r>
        <w:rPr>
          <w:b/>
          <w:bCs/>
        </w:rPr>
        <w:t>影响解读</w:t>
      </w:r>
      <w:r>
        <w:rPr/>
        <w:t>：此规定旨在杜绝同一考生占用春考、夏考两个录取名额的现象，保障招生资源公平分配。对同时符合两类考试报名条件的考生来说，需要更加慎重地评估自身定位，避免因兼报而导致录取阶段出现“两头落空”的被动局面。</w:t>
      </w:r>
    </w:p>
    <w:p>
      <w:pPr>
        <w:pStyle w:val="5"/>
        <w:jc w:val="left"/>
      </w:pPr>
      <w:r>
        <w:rPr/>
        <w:t>变化六：高考加分政策进一步收紧</w:t>
      </w:r>
    </w:p>
    <w:p>
      <w:pPr>
        <w:jc w:val="left"/>
      </w:pPr>
      <w:r>
        <w:rPr/>
        <w:t>2026年，山东省高考加分项目进一步精简瘦身。少数民族加分项目已彻底取消，无论考生是否来自聚居地区，均不再享受高考加分。目前仅保留国家规定的四项加分项目：烈士子女加20分、服役期间荣立二等功以上或被战区授予荣誉称号的退役军人加20分、归侨/华侨子女/归侨子女/台湾省籍考生加10分、自主就业的退役士兵加10分。</w:t>
      </w:r>
    </w:p>
    <w:p>
      <w:pPr>
        <w:jc w:val="left"/>
      </w:pPr>
      <w:r>
        <w:rPr>
          <w:b/>
          <w:bCs/>
        </w:rPr>
        <w:t>影响解读</w:t>
      </w:r>
      <w:r>
        <w:rPr/>
        <w:t>：加分政策的持续收紧旨在促进教育公平，减少因民族身份等因素带来的分数差异。2026年是现行加分分值的最后一年，后续年度可能存在进一步缩减调整的可能。</w:t>
      </w:r>
    </w:p>
    <w:p>
      <w:pPr>
        <w:pStyle w:val="4"/>
        <w:jc w:val="left"/>
      </w:pPr>
      <w:r>
        <w:rPr/>
        <w:t>三、总体趋势总结</w:t>
      </w:r>
    </w:p>
    <w:p>
      <w:pPr>
        <w:numPr>
          <w:ilvl w:val="0"/>
          <w:numId w:val="2"/>
        </w:numPr>
        <w:jc w:val="left"/>
      </w:pPr>
      <w:r>
        <w:rPr>
          <w:b/>
          <w:bCs/>
        </w:rPr>
        <w:t>“稳”字当头</w:t>
      </w:r>
      <w:r>
        <w:rPr/>
        <w:t>：考试模式、总分构成、基本时间安排等核心框架未变，考生可安心按部就班备考</w:t>
      </w:r>
    </w:p>
    <w:p>
      <w:pPr>
        <w:numPr>
          <w:ilvl w:val="0"/>
          <w:numId w:val="2"/>
        </w:numPr>
        <w:jc w:val="left"/>
      </w:pPr>
      <w:r>
        <w:rPr>
          <w:b/>
          <w:bCs/>
        </w:rPr>
        <w:t>“优”字为要</w:t>
      </w:r>
      <w:r>
        <w:rPr/>
        <w:t>：录取批次精简、志愿数量扩容、专项计划机制优化，充分体现了以考生为中心的政策导向</w:t>
      </w:r>
    </w:p>
    <w:p>
      <w:pPr>
        <w:numPr>
          <w:ilvl w:val="0"/>
          <w:numId w:val="2"/>
        </w:numPr>
        <w:jc w:val="left"/>
      </w:pPr>
      <w:r>
        <w:rPr>
          <w:b/>
          <w:bCs/>
        </w:rPr>
        <w:t>“公”字为本</w:t>
      </w:r>
      <w:r>
        <w:rPr/>
        <w:t>：加分政策持续收紧、兼报规则从严执行，维护招生录取的公平公正</w:t>
      </w:r>
    </w:p>
    <w:p>
      <w:pPr>
        <w:numPr>
          <w:ilvl w:val="0"/>
          <w:numId w:val="2"/>
        </w:numPr>
        <w:jc w:val="left"/>
      </w:pPr>
      <w:r>
        <w:rPr>
          <w:b/>
          <w:bCs/>
        </w:rPr>
        <w:t>“细”字着力</w:t>
      </w:r>
      <w:r>
        <w:rPr/>
        <w:t>：艺术类提前批结构细分、公费师范生录取规则统一化，体现了政策的精细化管理方向</w:t>
      </w:r>
    </w:p>
    <w:p>
      <w:pPr>
        <w:jc w:val="left"/>
      </w:pPr>
      <w:r>
        <w:rPr/>
        <w:t>建议2026届考生仔细研读上述变化，特别是录取批次的变化会影响志愿填报的策略规划、志愿数量扩容意味着需要提前准备更多的志愿选择、兼报规则的变化要求春夏考双路径考生更审慎地做出取舍。如有疑问，建议及时咨询所在中学或当地教育招生考试机构。</w:t>
      </w:r>
    </w:p>
    <w:sectPr>
      <w:pgSz w:w="11906" w:h="16838" w:orient="portrait"/>
      <w:pgMar w:top="1440" w:right="1803" w:bottom="1440" w:left="1803" w:header="13" w:footer="13" w:gutter="0"/>
      <w:cols w:space="0" w:num="1"/>
      <w:docGrid w:type="lines" w:linePitch="2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微软雅黑">
    <w:panose1 w:val="020B0503020204020204"/>
    <w:charset w:val="86"/>
    <w:family w:val="auto"/>
    <w:pitch w:val="default"/>
    <w:sig w:usb0="80000287" w:usb1="2ACF3C50" w:usb2="00000016" w:usb3="00000000" w:csb0="0004001F" w:csb1="00000000"/>
  </w:font>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ymbol">
    <w:panose1 w:val="05050102010706020507"/>
    <w:charset w:val="02"/>
    <w:family w:val="roman"/>
    <w:pitch w:val="default"/>
    <w:sig w:usb0="00000000" w:usb1="00000000" w:usb2="00000000" w:usb3="00000000" w:csb0="80000000" w:csb1="00000000"/>
  </w:font>
  <w:font w:name="Segoe UI Emoji">
    <w:altName w:val="Noto Color Emoji"/>
    <w:panose1 w:val="020B0502040204020203"/>
    <w:charset w:val="00"/>
    <w:family w:val="auto"/>
    <w:pitch w:val="default"/>
    <w:sig w:usb0="00000001" w:usb1="02000000" w:usb2="00000000" w:usb3="00000000" w:csb0="00000001" w:csb1="00000000"/>
  </w:font>
</w:fonts>
</file>

<file path=word/numbering.xml><?xml version="1.0" encoding="utf-8"?>
<w:numbering xmlns:r="http://schemas.openxmlformats.org/officeDocument/2006/relationships" xmlns:w="http://schemas.openxmlformats.org/wordprocessingml/2006/main">
  <w:abstractNum w:abstractNumId="1">
    <w:nsid w:val="20000001"/>
    <w:multiLevelType w:val="singleLevel"/>
    <w:tmpl w:val="20000001"/>
    <w:lvl w:ilvl="0" w:tentative="0">
      <w:start w:val="1"/>
      <w:numFmt w:val="decimal"/>
      <w:pStyle w:val="15"/>
      <w:suff w:val="space"/>
      <w:lvlText w:val="%1 "/>
      <w:lvlJc w:val="right"/>
      <w:pPr/>
      <w:rPr>
        <w:rFonts w:ascii="微软雅黑" w:hAnsi="微软雅黑" w:eastAsia="微软雅黑" w:cs="微软雅黑"/>
        <w:color w:val="C0C6CF"/>
        <w:sz w:val="16"/>
      </w:rPr>
    </w:lvl>
  </w:abstractNum>
  <w:abstractNum w:abstractNumId="2">
    <w:nsid w:val="20000002"/>
    <w:multiLevelType w:val="multilevel"/>
    <w:tmpl w:val="20000002"/>
    <w:lvl w:ilvl="0" w:tentative="0">
      <w:start w:val="1"/>
      <w:numFmt w:val="bullet"/>
      <w:lvlText w:val=""/>
      <w:pPr>
        <w:ind w:left="420" w:hanging="420"/>
      </w:pPr>
      <w:rPr>
        <w:rFonts w:ascii="Wingdings" w:hAnsi="Wingdings" w:eastAsia="Wingdings" w:cs="Wingdings"/>
      </w:rPr>
    </w:lvl>
    <w:lvl w:ilvl="1" w:tentative="0">
      <w:start w:val="1"/>
      <w:numFmt w:val="bullet"/>
      <w:lvlText w:val="¢"/>
      <w:pPr>
        <w:ind w:left="840" w:hanging="420"/>
      </w:pPr>
      <w:rPr>
        <w:rFonts w:ascii="Wingdings" w:hAnsi="Wingdings" w:eastAsia="Wingdings" w:cs="Wingdings"/>
      </w:rPr>
    </w:lvl>
    <w:lvl w:ilvl="2" w:tentative="0">
      <w:start w:val="1"/>
      <w:numFmt w:val="bullet"/>
      <w:lvlText w:val=""/>
      <w:pPr>
        <w:ind w:left="1260" w:hanging="420"/>
      </w:pPr>
      <w:rPr>
        <w:rFonts w:ascii="Wingdings" w:hAnsi="Wingdings" w:eastAsia="Wingdings" w:cs="Wingdings"/>
      </w:rPr>
    </w:lvl>
    <w:lvl w:ilvl="3" w:tentative="0">
      <w:start w:val="1"/>
      <w:numFmt w:val="bullet"/>
      <w:lvlText w:val=""/>
      <w:pPr>
        <w:ind w:left="1680" w:hanging="420"/>
      </w:pPr>
      <w:rPr>
        <w:rFonts w:ascii="Wingdings" w:hAnsi="Wingdings" w:eastAsia="Wingdings" w:cs="Wingdings"/>
      </w:rPr>
    </w:lvl>
    <w:lvl w:ilvl="4" w:tentative="0">
      <w:start w:val="1"/>
      <w:numFmt w:val="bullet"/>
      <w:lvlText w:val="¢"/>
      <w:pPr>
        <w:ind w:left="2100" w:hanging="420"/>
      </w:pPr>
      <w:rPr>
        <w:rFonts w:ascii="Wingdings" w:hAnsi="Wingdings" w:eastAsia="Wingdings" w:cs="Wingdings"/>
      </w:rPr>
    </w:lvl>
    <w:lvl w:ilvl="5" w:tentative="0">
      <w:start w:val="1"/>
      <w:numFmt w:val="bullet"/>
      <w:lvlText w:val=""/>
      <w:pPr>
        <w:ind w:left="2520" w:hanging="420"/>
      </w:pPr>
      <w:rPr>
        <w:rFonts w:ascii="Wingdings" w:hAnsi="Wingdings" w:eastAsia="Wingdings" w:cs="Wingdings"/>
      </w:rPr>
    </w:lvl>
    <w:lvl w:ilvl="6" w:tentative="0">
      <w:start w:val="1"/>
      <w:numFmt w:val="bullet"/>
      <w:lvlText w:val=""/>
      <w:pPr>
        <w:ind w:left="2940" w:hanging="420"/>
      </w:pPr>
      <w:rPr>
        <w:rFonts w:ascii="Wingdings" w:hAnsi="Wingdings" w:eastAsia="Wingdings" w:cs="Wingdings"/>
      </w:rPr>
    </w:lvl>
    <w:lvl w:ilvl="7" w:tentative="0">
      <w:start w:val="1"/>
      <w:numFmt w:val="bullet"/>
      <w:lvlText w:val="¢"/>
      <w:pPr>
        <w:ind w:left="3360" w:hanging="420"/>
      </w:pPr>
      <w:rPr>
        <w:rFonts w:ascii="Wingdings" w:hAnsi="Wingdings" w:eastAsia="Wingdings" w:cs="Wingding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42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lsdException w:name="annotation text" w:uiPriority="0" w:semiHidden="0" w:unhideWhenUsed="0"/>
    <w:lsdException w:name="header" w:uiPriority="0" w:semiHidden="0" w:unhideWhenUsed="0"/>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0" w:unhideWhenUsed="0"/>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0" w:semiHidden="0" w:unhideWhenUsed="0"/>
    <w:lsdException w:name="FollowedHyperlink" w:uiPriority="0" w:semiHidden="0" w:unhideWhenUsed="0"/>
    <w:lsdException w:name="Strong" w:uiPriority="0" w:semiHidden="0" w:unhideWhenUsed="0" w:qFormat="1"/>
    <w:lsdException w:name="Emphasis" w:uiPriority="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0" w:unhideWhenUsed="0"/>
    <w:lsdException w:name="annotation subject"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3D effects 1" w:uiPriority="0" w:semiHidden="0" w:unhideWhenUsed="0"/>
    <w:lsdException w:name="Table 3D effects 2" w:uiPriority="0" w:semiHidden="0" w:unhideWhenUsed="0"/>
    <w:lsdException w:name="Table 3D effects 3" w:uiPriority="0" w:semiHidden="0" w:unhideWhenUsed="0"/>
    <w:lsdException w:name="Table Contemporary" w:uiPriority="0" w:semiHidden="0" w:unhideWhenUsed="0"/>
    <w:lsdException w:name="Table Elegant" w:uiPriority="0" w:semiHidden="0" w:unhideWhenUsed="0"/>
    <w:lsdException w:name="Table Professional" w:uiPriority="0" w:semiHidden="0" w:unhideWhenUsed="0"/>
    <w:lsdException w:name="Table Subtle 1" w:uiPriority="0" w:semiHidden="0" w:unhideWhenUsed="0"/>
    <w:lsdException w:name="Table Subtle 2"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Balloon Text" w:uiPriority="0" w:semiHidden="0" w:unhideWhenUsed="0"/>
    <w:lsdException w:name="Table Grid" w:uiPriority="0" w:semiHidden="0" w:unhideWhenUsed="0"/>
    <w:lsdException w:name="Table Theme" w:uiPriority="0" w:semiHidden="0" w:unhideWhenUsed="0"/>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1">
    <w:name w:val="Normal"/>
    <w:uiPriority w:val="0"/>
    <w:qFormat/>
    <w:pPr>
      <w:textAlignment w:val="baseline"/>
    </w:pPr>
    <w:rPr>
      <w:rFonts w:ascii="微软雅黑" w:hAnsi="微软雅黑" w:eastAsia="微软雅黑" w:cs="微软雅黑"/>
      <w:color w:val="080f17"/>
      <w:sz w:val="22"/>
    </w:rPr>
  </w:style>
  <w:style w:type="paragraph" w:styleId="2">
    <w:name w:val="MainTitle"/>
    <w:basedOn w:val="1"/>
    <w:uiPriority w:val="0"/>
    <w:qFormat/>
    <w:pPr>
      <w:pBdr>
        <w:bottom w:val="single" w:color="e2e6ed" w:sz="6" w:space="5"/>
      </w:pBdr>
      <w:spacing w:before="180" w:after="480" w:line="780" w:lineRule="exact"/>
    </w:pPr>
    <w:rPr>
      <w:b/>
      <w:sz w:val="44"/>
    </w:rPr>
  </w:style>
  <w:style w:type="paragraph" w:styleId="3">
    <w:name w:val="heading 1"/>
    <w:basedOn w:val="1"/>
    <w:uiPriority w:val="0"/>
    <w:qFormat/>
    <w:pPr>
      <w:spacing w:before="390" w:after="120" w:line="634" w:lineRule="exact"/>
      <w:outlineLvl w:val="0"/>
    </w:pPr>
    <w:rPr>
      <w:b/>
      <w:sz w:val="38"/>
    </w:rPr>
  </w:style>
  <w:style w:type="paragraph" w:styleId="4">
    <w:name w:val="heading 2"/>
    <w:basedOn w:val="1"/>
    <w:uiPriority w:val="0"/>
    <w:qFormat/>
    <w:pPr>
      <w:spacing w:before="330" w:after="120" w:line="536" w:lineRule="exact"/>
      <w:outlineLvl w:val="1"/>
    </w:pPr>
    <w:rPr>
      <w:b/>
      <w:sz w:val="32"/>
    </w:rPr>
  </w:style>
  <w:style w:type="paragraph" w:styleId="5">
    <w:name w:val="heading 3"/>
    <w:basedOn w:val="1"/>
    <w:uiPriority w:val="0"/>
    <w:qFormat/>
    <w:pPr>
      <w:spacing w:before="300" w:after="120" w:line="488" w:lineRule="exact"/>
      <w:outlineLvl w:val="2"/>
    </w:pPr>
    <w:rPr>
      <w:b/>
      <w:sz w:val="30"/>
    </w:rPr>
  </w:style>
  <w:style w:type="paragraph" w:styleId="6">
    <w:name w:val="heading 4"/>
    <w:basedOn w:val="1"/>
    <w:uiPriority w:val="0"/>
    <w:qFormat/>
    <w:pPr>
      <w:spacing w:before="270" w:after="120" w:line="439" w:lineRule="exact"/>
      <w:outlineLvl w:val="3"/>
    </w:pPr>
    <w:rPr>
      <w:b/>
      <w:sz w:val="26"/>
    </w:rPr>
  </w:style>
  <w:style w:type="paragraph" w:styleId="7">
    <w:name w:val="heading 5"/>
    <w:basedOn w:val="1"/>
    <w:uiPriority w:val="0"/>
    <w:qFormat/>
    <w:pPr>
      <w:spacing w:before="240" w:after="120" w:line="390" w:lineRule="exact"/>
      <w:outlineLvl w:val="4"/>
    </w:pPr>
    <w:rPr>
      <w:b/>
      <w:sz w:val="22"/>
    </w:rPr>
  </w:style>
  <w:style w:type="paragraph" w:styleId="8">
    <w:name w:val="heading 6"/>
    <w:basedOn w:val="1"/>
    <w:uiPriority w:val="0"/>
    <w:qFormat/>
    <w:pPr>
      <w:spacing w:before="240" w:after="120" w:line="390" w:lineRule="exact"/>
      <w:outlineLvl w:val="5"/>
    </w:pPr>
    <w:rPr>
      <w:b/>
      <w:sz w:val="22"/>
    </w:rPr>
  </w:style>
  <w:style w:type="table" w:styleId="9">
    <w:name w:val="Table Grid"/>
    <w:basedOn w:val="1"/>
    <w:uiPriority w:val="0"/>
    <w:qFormat/>
    <w:rPr/>
    <w:tblPr>
      <w:tblInd w:w="120" w:type="dxa"/>
      <w:tblBorders>
        <w:top w:val="single" w:color="080f17" w:sz="6" w:space="0"/>
        <w:left w:val="single" w:color="080f17" w:sz="6" w:space="0"/>
        <w:bottom w:val="single" w:color="080f17" w:sz="6" w:space="0"/>
        <w:right w:val="single" w:color="080f17" w:sz="6" w:space="0"/>
        <w:insideH w:val="single" w:color="080f17" w:sz="6" w:space="0"/>
        <w:insideV w:val="single" w:color="080f17" w:sz="6" w:space="0"/>
      </w:tblBorders>
      <w:tblCellMar>
        <w:left w:w="108" w:type="dxa"/>
        <w:right w:w="108" w:type="dxa"/>
      </w:tblCellMar>
    </w:tblPr>
  </w:style>
  <w:style w:type="character" w:styleId="10">
    <w:name w:val="Hyperlink"/>
    <w:uiPriority w:val="0"/>
    <w:qFormat/>
    <w:rPr>
      <w:color w:val="0A6CFF"/>
      <w:u w:val="single" w:color="0A6CFF"/>
    </w:rPr>
  </w:style>
  <w:style w:type="character" w:styleId="11">
    <w:name w:val="DateTime"/>
    <w:uiPriority w:val="0"/>
    <w:qFormat/>
    <w:rPr>
      <w:color w:val="0A6CFF"/>
    </w:rPr>
  </w:style>
  <w:style w:type="paragraph" w:styleId="12">
    <w:name w:val="Blockquote"/>
    <w:basedOn w:val="1"/>
    <w:uiPriority w:val="0"/>
    <w:qFormat/>
    <w:pPr>
      <w:pBdr>
        <w:left w:val="single" w:color="e2e6ed" w:sz="36" w:space="12"/>
      </w:pBdr>
      <w:ind w:left="330" w:firstLine="0"/>
    </w:pPr>
    <w:rPr>
      <w:color w:val="767c85"/>
      <w:sz w:val="22"/>
    </w:rPr>
  </w:style>
  <w:style w:type="character" w:styleId="13">
    <w:name w:val="Code"/>
    <w:uiPriority w:val="0"/>
    <w:qFormat/>
    <w:rPr>
      <w:bdr w:val="single" w:color="e2e6ed" w:sz="6"/>
    </w:rPr>
  </w:style>
  <w:style w:type="character" w:styleId="14">
    <w:name w:val="Emoji"/>
    <w:uiPriority w:val="0"/>
    <w:qFormat/>
    <w:rPr>
      <w:rFonts w:ascii="Segoe UI Emoji" w:hAnsi="Segoe UI Emoji" w:eastAsia="Segoe UI Emoji" w:cs="Segoe UI Emoji"/>
    </w:rPr>
  </w:style>
  <w:style w:type="paragraph" w:styleId="15">
    <w:name w:val="CodeBlock"/>
    <w:basedOn w:val="1"/>
    <w:uiPriority w:val="0"/>
    <w:qFormat/>
    <w:pPr>
      <w:numPr>
        <w:ilvl w:val="0"/>
        <w:numId w:val="1"/>
      </w:numPr>
      <w:pBdr>
        <w:top w:val="single" w:color="e2e6ed" w:sz="6" w:space="8"/>
        <w:left w:val="single" w:color="e2e6ed" w:sz="6" w:space="26"/>
        <w:bottom w:val="single" w:color="e2e6ed" w:sz="6" w:space="8"/>
        <w:right w:val="single" w:color="e2e6ed" w:sz="6" w:space="0"/>
      </w:pBdr>
      <w:shd w:val="clear" w:color="ffffff" w:fill="f5f7f9"/>
      <w:spacing w:before="0" w:after="0" w:line="300" w:lineRule="exact"/>
      <w:ind w:left="540" w:firstLine="0"/>
    </w:pPr>
    <w:rPr>
      <w:sz w:val="18"/>
    </w:rPr>
  </w:style>
  <w:style w:type="table" w:styleId="16">
    <w:name w:val="HighlightBlock"/>
    <w:basedOn w:val="1"/>
    <w:uiPriority w:val="0"/>
    <w:qFormat/>
    <w:rPr/>
    <w:tblPr>
      <w:tblInd w:w="120" w:type="dxa"/>
      <w:tblBorders>
        <w:top w:val="single" w:color="FEC794" w:sz="6" w:space="0"/>
        <w:left w:val="single" w:color="FEC794" w:sz="6" w:space="0"/>
        <w:bottom w:val="single" w:color="FEC794" w:sz="6" w:space="0"/>
        <w:right w:val="single" w:color="FEC794" w:sz="6" w:space="0"/>
        <w:insideH w:val="single" w:color="FEC794" w:sz="6" w:space="0"/>
        <w:insideV w:val="single" w:color="FEC794" w:sz="6" w:space="0"/>
      </w:tblBorders>
      <w:shd w:val="clear" w:color="ffffff" w:fill="FAF1E6"/>
      <w:tblCellMar>
        <w:left w:w="108" w:type="dxa"/>
        <w:right w:w="108" w:type="dxa"/>
      </w:tblCellMar>
    </w:tblPr>
  </w:style>
  <w:style w:type="paragraph" w:styleId="17">
    <w:name w:val="Seperate"/>
    <w:basedOn w:val="1"/>
    <w:uiPriority w:val="0"/>
    <w:qFormat/>
    <w:pPr>
      <w:spacing w:before="0" w:after="0" w:line="120" w:lineRule="exact"/>
    </w:pPr>
    <w:rPr/>
  </w:style>
</w:styles>
</file>

<file path=word/_rels/document.xml.rels><?xml version="1.0" encoding="UTF-8" standalone="yes"?><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1</TotalTime>
  <LinksUpToDate>false</LinksUpToDate>
  <Application>WPS Office</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webotl</dc:creator>
  <cp:lastModifiedBy>webotl</cp:lastModifiedBy>
  <dcterms:created xsi:type="dcterms:W3CDTF">2026-05-18T16:28:11Z</dcterms:created>
  <dcterms:modified xsi:type="dcterms:W3CDTF">2026-05-18T16:28:11Z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webotl</vt:lpwstr>
  </property>
</Properties>
</file>